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4E2D" w14:textId="77777777" w:rsidR="00C91FBA" w:rsidRPr="00DC67C7" w:rsidRDefault="0006762B" w:rsidP="00DC67C7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7C7">
        <w:rPr>
          <w:rFonts w:ascii="Arial" w:hAnsi="Arial" w:cs="Arial"/>
          <w:sz w:val="22"/>
          <w:szCs w:val="22"/>
        </w:rPr>
        <w:t xml:space="preserve">The Environmental Protection (Transhipping Activities) Amendment Regulation 2020 (the Amendment Regulation) will give full legislative effect to the Queensland Government’s transhipping policy. </w:t>
      </w:r>
    </w:p>
    <w:p w14:paraId="0A700D3B" w14:textId="4D3481E6" w:rsidR="007A12BC" w:rsidRPr="00DC67C7" w:rsidRDefault="0006762B" w:rsidP="00DC67C7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7C7">
        <w:rPr>
          <w:rFonts w:ascii="Arial" w:hAnsi="Arial" w:cs="Arial"/>
          <w:sz w:val="22"/>
          <w:szCs w:val="22"/>
        </w:rPr>
        <w:t xml:space="preserve">The primary objectives of the Amendment Regulation are to clearly prescribe transhipping as an environmentally relevant activity (ERA) and </w:t>
      </w:r>
      <w:r w:rsidR="00C91FBA" w:rsidRPr="00DC67C7">
        <w:rPr>
          <w:rFonts w:ascii="Arial" w:hAnsi="Arial" w:cs="Arial"/>
          <w:sz w:val="22"/>
          <w:szCs w:val="22"/>
        </w:rPr>
        <w:t>require</w:t>
      </w:r>
      <w:r w:rsidRPr="00DC67C7">
        <w:rPr>
          <w:rFonts w:ascii="Arial" w:hAnsi="Arial" w:cs="Arial"/>
          <w:sz w:val="22"/>
          <w:szCs w:val="22"/>
        </w:rPr>
        <w:t xml:space="preserve"> the refusal</w:t>
      </w:r>
      <w:r w:rsidR="00A9408F" w:rsidRPr="00DC67C7">
        <w:rPr>
          <w:rFonts w:ascii="Arial" w:hAnsi="Arial" w:cs="Arial"/>
          <w:sz w:val="22"/>
          <w:szCs w:val="22"/>
        </w:rPr>
        <w:t xml:space="preserve"> </w:t>
      </w:r>
      <w:r w:rsidRPr="00DC67C7">
        <w:rPr>
          <w:rFonts w:ascii="Arial" w:hAnsi="Arial" w:cs="Arial"/>
          <w:sz w:val="22"/>
          <w:szCs w:val="22"/>
        </w:rPr>
        <w:t>of</w:t>
      </w:r>
      <w:r w:rsidR="00A9408F" w:rsidRPr="00DC67C7">
        <w:rPr>
          <w:rFonts w:ascii="Arial" w:hAnsi="Arial" w:cs="Arial"/>
          <w:sz w:val="22"/>
          <w:szCs w:val="22"/>
        </w:rPr>
        <w:t xml:space="preserve"> environmental authority applications for transhipping within particular areas of the Great Barrier Reef.</w:t>
      </w:r>
    </w:p>
    <w:p w14:paraId="44AD20D3" w14:textId="77777777" w:rsidR="00C91FBA" w:rsidRPr="00DC67C7" w:rsidRDefault="0006762B" w:rsidP="00DC67C7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7C7">
        <w:rPr>
          <w:rFonts w:ascii="Arial" w:hAnsi="Arial" w:cs="Arial"/>
          <w:sz w:val="22"/>
          <w:szCs w:val="22"/>
        </w:rPr>
        <w:t>The Amendment Regulation defines transhipping as the loading or unloading of minerals or bulk materials from one ship to another ship at a rate of 100 tonnes or more in a day. Transhipping does not include activities for an emergency response, ship refuelling, transfer of materials between ships docked within port limits, and transport of materials to remote areas of the state.</w:t>
      </w:r>
    </w:p>
    <w:p w14:paraId="2E806426" w14:textId="77777777" w:rsidR="007A12BC" w:rsidRPr="00DC67C7" w:rsidRDefault="0006762B" w:rsidP="00DC67C7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7C7">
        <w:rPr>
          <w:rFonts w:ascii="Arial" w:hAnsi="Arial" w:cs="Arial"/>
          <w:sz w:val="22"/>
          <w:szCs w:val="22"/>
        </w:rPr>
        <w:t>The Amendment Regulation</w:t>
      </w:r>
      <w:r w:rsidR="008C6451" w:rsidRPr="00DC67C7">
        <w:rPr>
          <w:rFonts w:ascii="Arial" w:hAnsi="Arial" w:cs="Arial"/>
          <w:sz w:val="22"/>
          <w:szCs w:val="22"/>
        </w:rPr>
        <w:t xml:space="preserve"> </w:t>
      </w:r>
      <w:r w:rsidR="00C91FBA" w:rsidRPr="00DC67C7">
        <w:rPr>
          <w:rFonts w:ascii="Arial" w:hAnsi="Arial" w:cs="Arial"/>
          <w:sz w:val="22"/>
          <w:szCs w:val="22"/>
        </w:rPr>
        <w:t>also clarifies</w:t>
      </w:r>
      <w:r w:rsidR="008C6451" w:rsidRPr="00DC67C7">
        <w:rPr>
          <w:rFonts w:ascii="Arial" w:hAnsi="Arial" w:cs="Arial"/>
          <w:sz w:val="22"/>
          <w:szCs w:val="22"/>
        </w:rPr>
        <w:t xml:space="preserve"> and improve</w:t>
      </w:r>
      <w:r w:rsidR="00C91FBA" w:rsidRPr="00DC67C7">
        <w:rPr>
          <w:rFonts w:ascii="Arial" w:hAnsi="Arial" w:cs="Arial"/>
          <w:sz w:val="22"/>
          <w:szCs w:val="22"/>
        </w:rPr>
        <w:t>s</w:t>
      </w:r>
      <w:r w:rsidR="008C6451" w:rsidRPr="00DC67C7">
        <w:rPr>
          <w:rFonts w:ascii="Arial" w:hAnsi="Arial" w:cs="Arial"/>
          <w:sz w:val="22"/>
          <w:szCs w:val="22"/>
        </w:rPr>
        <w:t xml:space="preserve"> the existing regulation</w:t>
      </w:r>
      <w:r w:rsidRPr="00DC67C7">
        <w:rPr>
          <w:rFonts w:ascii="Arial" w:hAnsi="Arial" w:cs="Arial"/>
          <w:sz w:val="22"/>
          <w:szCs w:val="22"/>
        </w:rPr>
        <w:t xml:space="preserve"> of mineral and bulk material handling </w:t>
      </w:r>
      <w:r w:rsidR="00C91FBA" w:rsidRPr="00DC67C7">
        <w:rPr>
          <w:rFonts w:ascii="Arial" w:hAnsi="Arial" w:cs="Arial"/>
          <w:sz w:val="22"/>
          <w:szCs w:val="22"/>
        </w:rPr>
        <w:t xml:space="preserve">activities </w:t>
      </w:r>
      <w:r w:rsidRPr="00DC67C7">
        <w:rPr>
          <w:rFonts w:ascii="Arial" w:hAnsi="Arial" w:cs="Arial"/>
          <w:sz w:val="22"/>
          <w:szCs w:val="22"/>
        </w:rPr>
        <w:t>(ERA 50).</w:t>
      </w:r>
    </w:p>
    <w:p w14:paraId="174F4F56" w14:textId="77777777" w:rsidR="007A12BC" w:rsidRPr="00DC67C7" w:rsidRDefault="0006762B" w:rsidP="00DC67C7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7C7">
        <w:rPr>
          <w:rFonts w:ascii="Arial" w:hAnsi="Arial" w:cs="Arial"/>
          <w:sz w:val="22"/>
          <w:szCs w:val="22"/>
          <w:u w:val="single"/>
        </w:rPr>
        <w:t>Cabinet endorsed</w:t>
      </w:r>
      <w:r w:rsidRPr="00DC67C7">
        <w:rPr>
          <w:rFonts w:ascii="Arial" w:hAnsi="Arial" w:cs="Arial"/>
          <w:sz w:val="22"/>
          <w:szCs w:val="22"/>
        </w:rPr>
        <w:t xml:space="preserve"> </w:t>
      </w:r>
      <w:r w:rsidR="003F6459" w:rsidRPr="00DC67C7">
        <w:rPr>
          <w:rFonts w:ascii="Arial" w:hAnsi="Arial" w:cs="Arial"/>
          <w:sz w:val="22"/>
          <w:szCs w:val="22"/>
        </w:rPr>
        <w:t>that the Environmental Protection (Transhipping</w:t>
      </w:r>
      <w:r w:rsidRPr="00DC67C7">
        <w:rPr>
          <w:rFonts w:ascii="Arial" w:hAnsi="Arial" w:cs="Arial"/>
          <w:sz w:val="22"/>
          <w:szCs w:val="22"/>
        </w:rPr>
        <w:t xml:space="preserve"> Activities</w:t>
      </w:r>
      <w:r w:rsidR="003F6459" w:rsidRPr="00DC67C7">
        <w:rPr>
          <w:rFonts w:ascii="Arial" w:hAnsi="Arial" w:cs="Arial"/>
          <w:sz w:val="22"/>
          <w:szCs w:val="22"/>
        </w:rPr>
        <w:t xml:space="preserve">) </w:t>
      </w:r>
      <w:r w:rsidRPr="00DC67C7">
        <w:rPr>
          <w:rFonts w:ascii="Arial" w:hAnsi="Arial" w:cs="Arial"/>
          <w:sz w:val="22"/>
          <w:szCs w:val="22"/>
        </w:rPr>
        <w:t>Amendment Regulation</w:t>
      </w:r>
      <w:r w:rsidR="003F6459" w:rsidRPr="00DC67C7">
        <w:rPr>
          <w:rFonts w:ascii="Arial" w:hAnsi="Arial" w:cs="Arial"/>
          <w:sz w:val="22"/>
          <w:szCs w:val="22"/>
        </w:rPr>
        <w:t xml:space="preserve"> 2020 be recommended to the Governor in Council for approval</w:t>
      </w:r>
      <w:r w:rsidR="0044394B" w:rsidRPr="00DC67C7">
        <w:rPr>
          <w:rFonts w:ascii="Arial" w:hAnsi="Arial" w:cs="Arial"/>
          <w:sz w:val="22"/>
          <w:szCs w:val="22"/>
        </w:rPr>
        <w:t xml:space="preserve">. </w:t>
      </w:r>
    </w:p>
    <w:p w14:paraId="0C443E87" w14:textId="77777777" w:rsidR="00D6589B" w:rsidRPr="00DC67C7" w:rsidRDefault="0006762B" w:rsidP="00DC67C7">
      <w:pPr>
        <w:pStyle w:val="ListParagraph"/>
        <w:numPr>
          <w:ilvl w:val="0"/>
          <w:numId w:val="1"/>
        </w:numPr>
        <w:spacing w:before="3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7C7">
        <w:rPr>
          <w:rFonts w:ascii="Arial" w:hAnsi="Arial" w:cs="Arial"/>
          <w:sz w:val="22"/>
          <w:szCs w:val="22"/>
          <w:u w:val="single"/>
        </w:rPr>
        <w:t>Attachments</w:t>
      </w:r>
    </w:p>
    <w:p w14:paraId="311F6F0D" w14:textId="4CA98379" w:rsidR="00584784" w:rsidRPr="00DC67C7" w:rsidRDefault="00371A86" w:rsidP="00DC67C7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06762B" w:rsidRPr="006F0CD7">
          <w:rPr>
            <w:rStyle w:val="Hyperlink"/>
            <w:rFonts w:ascii="Arial" w:hAnsi="Arial" w:cs="Arial"/>
            <w:sz w:val="22"/>
            <w:szCs w:val="22"/>
          </w:rPr>
          <w:t>Environmental Protection (Transhipping Activities) Amendment Regulation 2020</w:t>
        </w:r>
      </w:hyperlink>
    </w:p>
    <w:p w14:paraId="1DF40D6E" w14:textId="59CDE80A" w:rsidR="00732E22" w:rsidRPr="00DC67C7" w:rsidRDefault="00371A86" w:rsidP="00DC67C7">
      <w:pPr>
        <w:numPr>
          <w:ilvl w:val="0"/>
          <w:numId w:val="2"/>
        </w:numPr>
        <w:tabs>
          <w:tab w:val="clear" w:pos="814"/>
          <w:tab w:val="num" w:pos="280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06762B" w:rsidRPr="006F0CD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36B40848" w14:textId="473A7491" w:rsidR="00584784" w:rsidRPr="00DC67C7" w:rsidRDefault="00371A86" w:rsidP="00DC67C7">
      <w:pPr>
        <w:numPr>
          <w:ilvl w:val="0"/>
          <w:numId w:val="2"/>
        </w:numPr>
        <w:tabs>
          <w:tab w:val="clear" w:pos="814"/>
          <w:tab w:val="num" w:pos="280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DC67C7" w:rsidRPr="00994569">
          <w:rPr>
            <w:rStyle w:val="Hyperlink"/>
            <w:rFonts w:ascii="Arial" w:hAnsi="Arial" w:cs="Arial"/>
            <w:sz w:val="22"/>
            <w:szCs w:val="22"/>
          </w:rPr>
          <w:t>Human Rights Certificate</w:t>
        </w:r>
      </w:hyperlink>
    </w:p>
    <w:sectPr w:rsidR="00584784" w:rsidRPr="00DC67C7" w:rsidSect="004877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2633" w14:textId="77777777" w:rsidR="00164B66" w:rsidRDefault="00164B66">
      <w:r>
        <w:separator/>
      </w:r>
    </w:p>
  </w:endnote>
  <w:endnote w:type="continuationSeparator" w:id="0">
    <w:p w14:paraId="23924FFB" w14:textId="77777777" w:rsidR="00164B66" w:rsidRDefault="0016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290B" w14:textId="77777777" w:rsidR="00001971" w:rsidRDefault="00001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FB2E" w14:textId="77777777" w:rsidR="00001971" w:rsidRDefault="00001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8E72" w14:textId="77777777" w:rsidR="00001971" w:rsidRDefault="00001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D66E" w14:textId="77777777" w:rsidR="00164B66" w:rsidRDefault="00164B66">
      <w:r>
        <w:separator/>
      </w:r>
    </w:p>
  </w:footnote>
  <w:footnote w:type="continuationSeparator" w:id="0">
    <w:p w14:paraId="170EB168" w14:textId="77777777" w:rsidR="00164B66" w:rsidRDefault="0016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8CE5" w14:textId="77777777" w:rsidR="00001971" w:rsidRDefault="00001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199F" w14:textId="77777777" w:rsidR="00937A4A" w:rsidRPr="00937A4A" w:rsidRDefault="0006762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F6F8BC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5513E49" w14:textId="77777777" w:rsidR="00937A4A" w:rsidRPr="00937A4A" w:rsidRDefault="0006762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B0378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5D5CCA">
      <w:rPr>
        <w:rFonts w:ascii="Arial" w:hAnsi="Arial" w:cs="Arial"/>
        <w:b/>
        <w:color w:val="auto"/>
        <w:sz w:val="22"/>
        <w:szCs w:val="22"/>
        <w:lang w:eastAsia="en-US"/>
      </w:rPr>
      <w:t>2020</w:t>
    </w:r>
  </w:p>
  <w:p w14:paraId="08CF58D4" w14:textId="77777777" w:rsidR="00CB1501" w:rsidRDefault="0006762B" w:rsidP="00001971">
    <w:pPr>
      <w:pStyle w:val="Header"/>
      <w:spacing w:before="120" w:after="120"/>
      <w:rPr>
        <w:rFonts w:ascii="Arial" w:hAnsi="Arial" w:cs="Arial"/>
        <w:b/>
        <w:sz w:val="22"/>
        <w:szCs w:val="22"/>
        <w:u w:val="single"/>
      </w:rPr>
    </w:pPr>
    <w:r w:rsidRPr="00D977A3">
      <w:rPr>
        <w:rFonts w:ascii="Arial" w:hAnsi="Arial" w:cs="Arial"/>
        <w:b/>
        <w:sz w:val="22"/>
        <w:szCs w:val="22"/>
        <w:u w:val="single"/>
      </w:rPr>
      <w:t>Environmental Protection (Transhipping Activities) Amendment Regulation 2020</w:t>
    </w:r>
  </w:p>
  <w:p w14:paraId="158F7C7C" w14:textId="77777777" w:rsidR="005D5CCA" w:rsidRDefault="0006762B" w:rsidP="00280DCA">
    <w:pPr>
      <w:pStyle w:val="Header"/>
      <w:rPr>
        <w:rFonts w:ascii="Arial" w:hAnsi="Arial" w:cs="Arial"/>
        <w:b/>
        <w:sz w:val="22"/>
        <w:szCs w:val="22"/>
        <w:u w:val="single"/>
      </w:rPr>
    </w:pPr>
    <w:r w:rsidRPr="005D5CCA">
      <w:rPr>
        <w:rFonts w:ascii="Arial" w:hAnsi="Arial" w:cs="Arial"/>
        <w:b/>
        <w:sz w:val="22"/>
        <w:szCs w:val="22"/>
        <w:u w:val="single"/>
      </w:rPr>
      <w:t>Minister for Environment and the Great Barrier Reef, Minister for Science and Minister for the Arts</w:t>
    </w:r>
  </w:p>
  <w:p w14:paraId="3CA74EC1" w14:textId="77777777" w:rsidR="005D5CCA" w:rsidRDefault="005D5CCA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F958" w14:textId="77777777" w:rsidR="00001971" w:rsidRDefault="00001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249D3"/>
    <w:multiLevelType w:val="hybridMultilevel"/>
    <w:tmpl w:val="E6B2C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CEEA96E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68F6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D2F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89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65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2E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E0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D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085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5D029F2E"/>
    <w:lvl w:ilvl="0" w:tplc="E082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16632C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EB5844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D47C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7287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6A46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04E0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280E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B8FB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01971"/>
    <w:rsid w:val="0006762B"/>
    <w:rsid w:val="00080F8F"/>
    <w:rsid w:val="0010384C"/>
    <w:rsid w:val="00152095"/>
    <w:rsid w:val="00164B66"/>
    <w:rsid w:val="00174117"/>
    <w:rsid w:val="0017628A"/>
    <w:rsid w:val="001A2140"/>
    <w:rsid w:val="00230CD0"/>
    <w:rsid w:val="00280DCA"/>
    <w:rsid w:val="002F43FF"/>
    <w:rsid w:val="0034156D"/>
    <w:rsid w:val="00371A86"/>
    <w:rsid w:val="003A3BDD"/>
    <w:rsid w:val="003F6459"/>
    <w:rsid w:val="0043543B"/>
    <w:rsid w:val="0044394B"/>
    <w:rsid w:val="004877DF"/>
    <w:rsid w:val="00501C66"/>
    <w:rsid w:val="00550873"/>
    <w:rsid w:val="00575567"/>
    <w:rsid w:val="00584784"/>
    <w:rsid w:val="005D5CCA"/>
    <w:rsid w:val="006E28C3"/>
    <w:rsid w:val="006F0CD7"/>
    <w:rsid w:val="00722ED3"/>
    <w:rsid w:val="007265D0"/>
    <w:rsid w:val="00732E22"/>
    <w:rsid w:val="00741C20"/>
    <w:rsid w:val="007A12BC"/>
    <w:rsid w:val="007B0378"/>
    <w:rsid w:val="007F44F4"/>
    <w:rsid w:val="00893872"/>
    <w:rsid w:val="008C6451"/>
    <w:rsid w:val="00904077"/>
    <w:rsid w:val="00937A4A"/>
    <w:rsid w:val="009818DE"/>
    <w:rsid w:val="00994569"/>
    <w:rsid w:val="00A43805"/>
    <w:rsid w:val="00A7586B"/>
    <w:rsid w:val="00A9408F"/>
    <w:rsid w:val="00B95A06"/>
    <w:rsid w:val="00C66E77"/>
    <w:rsid w:val="00C75E67"/>
    <w:rsid w:val="00C91FBA"/>
    <w:rsid w:val="00CA0C5C"/>
    <w:rsid w:val="00CB1501"/>
    <w:rsid w:val="00CD7A50"/>
    <w:rsid w:val="00CF0D8A"/>
    <w:rsid w:val="00D6589B"/>
    <w:rsid w:val="00D977A3"/>
    <w:rsid w:val="00DC67C7"/>
    <w:rsid w:val="00E26E5F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7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7A3"/>
    <w:rPr>
      <w:color w:val="0563C1"/>
      <w:u w:val="single"/>
    </w:rPr>
  </w:style>
  <w:style w:type="table" w:styleId="TableGrid">
    <w:name w:val="Table Grid"/>
    <w:basedOn w:val="TableNormal"/>
    <w:uiPriority w:val="39"/>
    <w:rsid w:val="00D977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HRC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Attachments/Reg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64B616-1F50-45F0-BAFE-1C9D50041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97</TotalTime>
  <Pages>1</Pages>
  <Words>178</Words>
  <Characters>1112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1286</CharactersWithSpaces>
  <SharedDoc>false</SharedDoc>
  <HyperlinkBase>https://www.cabinet.qld.gov.au/documents/2020/Aug/EPTAReg/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25</cp:revision>
  <dcterms:created xsi:type="dcterms:W3CDTF">2014-10-31T04:50:00Z</dcterms:created>
  <dcterms:modified xsi:type="dcterms:W3CDTF">2021-04-22T06:22:00Z</dcterms:modified>
  <cp:category>Environmental_Protection,Legislation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